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0DED" w:rsidRDefault="007E0DED" w:rsidP="007E0DED">
      <w:pPr>
        <w:spacing w:line="360" w:lineRule="auto"/>
        <w:jc w:val="center"/>
        <w:rPr>
          <w:rFonts w:ascii="Riesling" w:hAnsi="Riesling"/>
          <w:b/>
          <w:sz w:val="40"/>
          <w:szCs w:val="40"/>
        </w:rPr>
      </w:pPr>
    </w:p>
    <w:p w:rsidR="005B59B3" w:rsidRPr="005B59B3" w:rsidRDefault="005B59B3" w:rsidP="005B59B3">
      <w:pPr>
        <w:pStyle w:val="Default"/>
        <w:jc w:val="center"/>
      </w:pPr>
    </w:p>
    <w:p w:rsidR="005B59B3" w:rsidRPr="005B59B3" w:rsidRDefault="005B59B3" w:rsidP="005B59B3">
      <w:pPr>
        <w:pStyle w:val="Default"/>
        <w:jc w:val="center"/>
        <w:rPr>
          <w:rFonts w:ascii="Riesling" w:hAnsi="Riesling"/>
          <w:bCs/>
          <w:sz w:val="50"/>
          <w:szCs w:val="50"/>
        </w:rPr>
      </w:pPr>
      <w:r w:rsidRPr="005B59B3">
        <w:rPr>
          <w:rFonts w:ascii="Riesling" w:hAnsi="Riesling"/>
          <w:bCs/>
          <w:sz w:val="50"/>
          <w:szCs w:val="50"/>
        </w:rPr>
        <w:t>Allgemeine Geschäftsbedingungen</w:t>
      </w:r>
    </w:p>
    <w:p w:rsidR="005B59B3" w:rsidRPr="005B59B3" w:rsidRDefault="005B59B3" w:rsidP="005B59B3">
      <w:pPr>
        <w:pStyle w:val="Default"/>
        <w:rPr>
          <w:rFonts w:ascii="Riesling" w:hAnsi="Riesling"/>
          <w:sz w:val="50"/>
          <w:szCs w:val="50"/>
        </w:rPr>
      </w:pPr>
    </w:p>
    <w:p w:rsidR="005B59B3" w:rsidRPr="005B59B3" w:rsidRDefault="005B59B3" w:rsidP="005B59B3">
      <w:pPr>
        <w:pStyle w:val="Default"/>
        <w:rPr>
          <w:rFonts w:ascii="Avenir Roman" w:hAnsi="Avenir Roman"/>
          <w:sz w:val="20"/>
          <w:szCs w:val="20"/>
        </w:rPr>
      </w:pPr>
      <w:r w:rsidRPr="005B59B3">
        <w:rPr>
          <w:rFonts w:ascii="Avenir Roman" w:hAnsi="Avenir Roman"/>
          <w:sz w:val="20"/>
          <w:szCs w:val="20"/>
        </w:rPr>
        <w:t xml:space="preserve">1. Diese Vertragsbedingungen gelten für sämtliche in dem </w:t>
      </w:r>
      <w:proofErr w:type="spellStart"/>
      <w:r w:rsidRPr="005B59B3">
        <w:rPr>
          <w:rFonts w:ascii="Avenir Roman" w:hAnsi="Avenir Roman"/>
          <w:sz w:val="20"/>
          <w:szCs w:val="20"/>
        </w:rPr>
        <w:t>Tattoostudio</w:t>
      </w:r>
      <w:proofErr w:type="spellEnd"/>
      <w:r w:rsidRPr="005B59B3">
        <w:rPr>
          <w:rFonts w:ascii="Avenir Roman" w:hAnsi="Avenir Roman"/>
          <w:sz w:val="20"/>
          <w:szCs w:val="20"/>
        </w:rPr>
        <w:t xml:space="preserve"> „Carry Easy“ anzufertigenden Tätowierungen unabhängig von der jeweils ausführenden Person. </w:t>
      </w:r>
    </w:p>
    <w:p w:rsidR="005B59B3" w:rsidRPr="005B59B3" w:rsidRDefault="005B59B3" w:rsidP="005B59B3">
      <w:pPr>
        <w:pStyle w:val="Default"/>
        <w:rPr>
          <w:rFonts w:ascii="Avenir Roman" w:hAnsi="Avenir Roman"/>
          <w:sz w:val="20"/>
          <w:szCs w:val="20"/>
        </w:rPr>
      </w:pPr>
    </w:p>
    <w:p w:rsidR="005B59B3" w:rsidRPr="005B59B3" w:rsidRDefault="005B59B3" w:rsidP="005B59B3">
      <w:pPr>
        <w:pStyle w:val="Default"/>
        <w:rPr>
          <w:rFonts w:ascii="Avenir Roman" w:hAnsi="Avenir Roman"/>
          <w:sz w:val="20"/>
          <w:szCs w:val="20"/>
        </w:rPr>
      </w:pPr>
      <w:r w:rsidRPr="005B59B3">
        <w:rPr>
          <w:rFonts w:ascii="Avenir Roman" w:hAnsi="Avenir Roman"/>
          <w:sz w:val="20"/>
          <w:szCs w:val="20"/>
        </w:rPr>
        <w:t xml:space="preserve">2. Sämtliche vertraglichen Verpflichtungen mit Bezug auf die Erstellung einer Tätowierung entstehen im Falle der bei dem Studio selbständig Tätigen immer und ausschließlich zwischen dem beauftragten Tätowierer persönlich und dem Kunden. </w:t>
      </w:r>
    </w:p>
    <w:p w:rsidR="005B59B3" w:rsidRPr="005B59B3" w:rsidRDefault="005B59B3" w:rsidP="005B59B3">
      <w:pPr>
        <w:pStyle w:val="Default"/>
        <w:rPr>
          <w:rFonts w:ascii="Avenir Roman" w:hAnsi="Avenir Roman"/>
          <w:sz w:val="20"/>
          <w:szCs w:val="20"/>
        </w:rPr>
      </w:pPr>
    </w:p>
    <w:p w:rsidR="005B59B3" w:rsidRPr="005B59B3" w:rsidRDefault="005B59B3" w:rsidP="005B59B3">
      <w:pPr>
        <w:pStyle w:val="Default"/>
        <w:rPr>
          <w:rFonts w:ascii="Avenir Roman" w:hAnsi="Avenir Roman"/>
          <w:sz w:val="20"/>
          <w:szCs w:val="20"/>
        </w:rPr>
      </w:pPr>
      <w:r w:rsidRPr="005B59B3">
        <w:rPr>
          <w:rFonts w:ascii="Avenir Roman" w:hAnsi="Avenir Roman"/>
          <w:sz w:val="20"/>
          <w:szCs w:val="20"/>
        </w:rPr>
        <w:t>3. Kinder werden nicht tätowiert. Jugendliche ab Vollendung des 16.Lebensjahrs werden in Einzelfällen nach freier Einschätzung des Tätowierers dann tätowiert, wenn bei der Terminvereinbarung wenigstens eine nachweislich erziehungsberechtigte Person zugegen ist, ihre Zustimmung zu der Durchführung der Tätowierung schriftlich erklärt und die Zustimmung sämtlicher weiterer abwesenden Fürsorgeberechtigter ebenfalls schriftlich erklärt wird</w:t>
      </w:r>
      <w:r>
        <w:rPr>
          <w:rFonts w:ascii="Avenir Roman" w:hAnsi="Avenir Roman"/>
          <w:sz w:val="20"/>
          <w:szCs w:val="20"/>
        </w:rPr>
        <w:t xml:space="preserve">. </w:t>
      </w:r>
      <w:r w:rsidRPr="005B59B3">
        <w:rPr>
          <w:rFonts w:ascii="Avenir Roman" w:hAnsi="Avenir Roman"/>
          <w:sz w:val="20"/>
          <w:szCs w:val="20"/>
        </w:rPr>
        <w:t xml:space="preserve">Dasselbe gilt sinngemäß für Personen, welche unter Betreuung stehen. </w:t>
      </w:r>
    </w:p>
    <w:p w:rsidR="005B59B3" w:rsidRDefault="005B59B3" w:rsidP="005B59B3">
      <w:pPr>
        <w:pStyle w:val="Default"/>
        <w:rPr>
          <w:rFonts w:ascii="Avenir Roman" w:hAnsi="Avenir Roman"/>
          <w:sz w:val="20"/>
          <w:szCs w:val="20"/>
        </w:rPr>
      </w:pPr>
    </w:p>
    <w:p w:rsidR="005B59B3" w:rsidRPr="005B59B3" w:rsidRDefault="005B59B3" w:rsidP="005B59B3">
      <w:pPr>
        <w:pStyle w:val="Default"/>
        <w:rPr>
          <w:rFonts w:ascii="Avenir Roman" w:hAnsi="Avenir Roman"/>
          <w:sz w:val="20"/>
          <w:szCs w:val="20"/>
        </w:rPr>
      </w:pPr>
      <w:r w:rsidRPr="005B59B3">
        <w:rPr>
          <w:rFonts w:ascii="Avenir Roman" w:hAnsi="Avenir Roman"/>
          <w:sz w:val="20"/>
          <w:szCs w:val="20"/>
        </w:rPr>
        <w:t xml:space="preserve">4. Der Kunde leistet mit dem Vertragsschluss über eine Tätowierung eine Anzahlung. Die Anzahlung dient sowohl zur Fixierung des vereinbarten </w:t>
      </w:r>
      <w:proofErr w:type="spellStart"/>
      <w:r w:rsidRPr="005B59B3">
        <w:rPr>
          <w:rFonts w:ascii="Avenir Roman" w:hAnsi="Avenir Roman"/>
          <w:sz w:val="20"/>
          <w:szCs w:val="20"/>
        </w:rPr>
        <w:t>Tattootermins</w:t>
      </w:r>
      <w:proofErr w:type="spellEnd"/>
      <w:r w:rsidRPr="005B59B3">
        <w:rPr>
          <w:rFonts w:ascii="Avenir Roman" w:hAnsi="Avenir Roman"/>
          <w:sz w:val="20"/>
          <w:szCs w:val="20"/>
        </w:rPr>
        <w:t xml:space="preserve"> als auch zur Abgeltung des Aufwandes der jeweiligen Terminvorbereitung. Sie ist an den Kunden nur zurückzuzahlen, wenn entweder </w:t>
      </w:r>
    </w:p>
    <w:p w:rsidR="005B59B3" w:rsidRPr="005B59B3" w:rsidRDefault="005B59B3" w:rsidP="005B59B3">
      <w:pPr>
        <w:pStyle w:val="Default"/>
        <w:rPr>
          <w:rFonts w:ascii="Avenir Roman" w:hAnsi="Avenir Roman" w:cs="Times New Roman"/>
          <w:color w:val="auto"/>
          <w:sz w:val="20"/>
          <w:szCs w:val="20"/>
        </w:rPr>
      </w:pPr>
    </w:p>
    <w:p w:rsidR="005B59B3" w:rsidRPr="005B59B3" w:rsidRDefault="005B59B3" w:rsidP="00C84DCF">
      <w:pPr>
        <w:pStyle w:val="Default"/>
        <w:spacing w:after="80"/>
        <w:rPr>
          <w:rFonts w:ascii="Avenir Roman" w:hAnsi="Avenir Roman"/>
          <w:color w:val="auto"/>
          <w:sz w:val="20"/>
          <w:szCs w:val="20"/>
        </w:rPr>
      </w:pPr>
      <w:r w:rsidRPr="005B59B3">
        <w:rPr>
          <w:rFonts w:ascii="Avenir Roman" w:hAnsi="Avenir Roman" w:cs="Times New Roman"/>
          <w:color w:val="auto"/>
          <w:sz w:val="20"/>
          <w:szCs w:val="20"/>
        </w:rPr>
        <w:t xml:space="preserve">• </w:t>
      </w:r>
      <w:r w:rsidR="00627F93">
        <w:rPr>
          <w:rFonts w:ascii="Avenir Roman" w:hAnsi="Avenir Roman" w:cs="Times New Roman"/>
          <w:color w:val="auto"/>
          <w:sz w:val="20"/>
          <w:szCs w:val="20"/>
        </w:rPr>
        <w:t xml:space="preserve"> </w:t>
      </w:r>
      <w:r w:rsidRPr="005B59B3">
        <w:rPr>
          <w:rFonts w:ascii="Avenir Roman" w:hAnsi="Avenir Roman"/>
          <w:color w:val="auto"/>
          <w:sz w:val="20"/>
          <w:szCs w:val="20"/>
        </w:rPr>
        <w:t xml:space="preserve">eine Terminabsage durch den Kunden spätestens </w:t>
      </w:r>
      <w:r w:rsidR="00635029">
        <w:rPr>
          <w:rFonts w:ascii="Avenir Roman" w:hAnsi="Avenir Roman"/>
          <w:color w:val="auto"/>
          <w:sz w:val="20"/>
          <w:szCs w:val="20"/>
        </w:rPr>
        <w:t>drei</w:t>
      </w:r>
      <w:r w:rsidR="00627F93">
        <w:rPr>
          <w:rFonts w:ascii="Avenir Roman" w:hAnsi="Avenir Roman"/>
          <w:color w:val="auto"/>
          <w:sz w:val="20"/>
          <w:szCs w:val="20"/>
        </w:rPr>
        <w:t xml:space="preserve"> T</w:t>
      </w:r>
      <w:r w:rsidRPr="005B59B3">
        <w:rPr>
          <w:rFonts w:ascii="Avenir Roman" w:hAnsi="Avenir Roman"/>
          <w:color w:val="auto"/>
          <w:sz w:val="20"/>
          <w:szCs w:val="20"/>
        </w:rPr>
        <w:t xml:space="preserve">age vor der Durchführung des ersten der vereinbarten Termine erfolgt, oder </w:t>
      </w:r>
    </w:p>
    <w:p w:rsidR="005B59B3" w:rsidRPr="005B59B3" w:rsidRDefault="005B59B3" w:rsidP="00C84DCF">
      <w:pPr>
        <w:pStyle w:val="Default"/>
        <w:spacing w:after="80"/>
        <w:rPr>
          <w:rFonts w:ascii="Avenir Roman" w:hAnsi="Avenir Roman"/>
          <w:color w:val="auto"/>
          <w:sz w:val="20"/>
          <w:szCs w:val="20"/>
        </w:rPr>
      </w:pPr>
      <w:r w:rsidRPr="005B59B3">
        <w:rPr>
          <w:rFonts w:ascii="Avenir Roman" w:hAnsi="Avenir Roman"/>
          <w:color w:val="auto"/>
          <w:sz w:val="20"/>
          <w:szCs w:val="20"/>
        </w:rPr>
        <w:t xml:space="preserve">• eine spätere Absage des ersten der vereinbarten Termine aufgrund von Umständen erfolgt, die der Kunde nachweislich nicht zu vertreten hat, oder </w:t>
      </w:r>
    </w:p>
    <w:p w:rsidR="005B59B3" w:rsidRPr="005B59B3" w:rsidRDefault="005B59B3" w:rsidP="00C84DCF">
      <w:pPr>
        <w:pStyle w:val="Default"/>
        <w:spacing w:after="80"/>
        <w:rPr>
          <w:rFonts w:ascii="Avenir Roman" w:hAnsi="Avenir Roman"/>
          <w:color w:val="auto"/>
          <w:sz w:val="20"/>
          <w:szCs w:val="20"/>
        </w:rPr>
      </w:pPr>
      <w:r w:rsidRPr="005B59B3">
        <w:rPr>
          <w:rFonts w:ascii="Avenir Roman" w:hAnsi="Avenir Roman"/>
          <w:color w:val="auto"/>
          <w:sz w:val="20"/>
          <w:szCs w:val="20"/>
        </w:rPr>
        <w:t>• der Tätowierer den Termin aufgrund von Gründen absagt, die er zu vertreten hat</w:t>
      </w:r>
      <w:r w:rsidR="00635029">
        <w:rPr>
          <w:rFonts w:ascii="Avenir Roman" w:hAnsi="Avenir Roman"/>
          <w:color w:val="auto"/>
          <w:sz w:val="20"/>
          <w:szCs w:val="20"/>
        </w:rPr>
        <w:t>, ohne Fertigung eines Entwurfs der Tätowierung</w:t>
      </w:r>
    </w:p>
    <w:p w:rsidR="005B59B3" w:rsidRPr="005B59B3" w:rsidRDefault="005B59B3" w:rsidP="005B59B3">
      <w:pPr>
        <w:pStyle w:val="Default"/>
        <w:rPr>
          <w:rFonts w:ascii="Avenir Roman" w:hAnsi="Avenir Roman"/>
          <w:color w:val="auto"/>
          <w:sz w:val="20"/>
          <w:szCs w:val="20"/>
        </w:rPr>
      </w:pPr>
    </w:p>
    <w:p w:rsidR="005B59B3" w:rsidRPr="005B59B3" w:rsidRDefault="005B59B3" w:rsidP="005B59B3">
      <w:pPr>
        <w:pStyle w:val="Default"/>
        <w:rPr>
          <w:rFonts w:ascii="Avenir Roman" w:hAnsi="Avenir Roman"/>
          <w:color w:val="auto"/>
          <w:sz w:val="20"/>
          <w:szCs w:val="20"/>
        </w:rPr>
      </w:pPr>
      <w:r w:rsidRPr="005B59B3">
        <w:rPr>
          <w:rFonts w:ascii="Avenir Roman" w:hAnsi="Avenir Roman"/>
          <w:color w:val="auto"/>
          <w:sz w:val="20"/>
          <w:szCs w:val="20"/>
        </w:rPr>
        <w:t xml:space="preserve">Eine Erstattung der Anzahlung erfolgt grundsätzlich nur in Form eines frei übertagbaren Gutscheins. Dies gilt nicht, wenn eine solche Form der Erstattung dem Kunden im Einzelfall – _insbesondere wegen der Natur des Ausfallgrundes – _unzumutbar ist. Eine Rückerstattung der Anzahlung ist ausgeschlossen sobald mit der Tätowierung begonnen oder ein zeichnerischer Entwurf der Tätowierung erstellt wurde. </w:t>
      </w:r>
    </w:p>
    <w:p w:rsidR="005B59B3" w:rsidRDefault="005B59B3" w:rsidP="005B59B3">
      <w:pPr>
        <w:pStyle w:val="Default"/>
        <w:rPr>
          <w:rFonts w:ascii="Avenir Roman" w:hAnsi="Avenir Roman"/>
          <w:color w:val="auto"/>
          <w:sz w:val="20"/>
          <w:szCs w:val="20"/>
        </w:rPr>
      </w:pPr>
      <w:r w:rsidRPr="005B59B3">
        <w:rPr>
          <w:rFonts w:ascii="Avenir Roman" w:hAnsi="Avenir Roman"/>
          <w:color w:val="auto"/>
          <w:sz w:val="20"/>
          <w:szCs w:val="20"/>
        </w:rPr>
        <w:t xml:space="preserve">Soweit die Terminabsage nach der Fertigung eines Entwurfs erfolgt, hat der Kunde keinen Anspruch auf eine Überlassung der Entwurfszeichnung. Dies dient der Sicherung der Urheberrechte des jeweiligen Tätowierers. </w:t>
      </w:r>
    </w:p>
    <w:p w:rsidR="00C84DCF" w:rsidRPr="005B59B3" w:rsidRDefault="00C84DCF" w:rsidP="005B59B3">
      <w:pPr>
        <w:pStyle w:val="Default"/>
        <w:rPr>
          <w:rFonts w:ascii="Avenir Roman" w:hAnsi="Avenir Roman"/>
          <w:color w:val="auto"/>
          <w:sz w:val="20"/>
          <w:szCs w:val="20"/>
        </w:rPr>
      </w:pPr>
    </w:p>
    <w:p w:rsidR="005B59B3" w:rsidRDefault="005B59B3" w:rsidP="005B59B3">
      <w:pPr>
        <w:pStyle w:val="Default"/>
        <w:rPr>
          <w:rFonts w:ascii="Avenir Roman" w:hAnsi="Avenir Roman"/>
          <w:color w:val="auto"/>
          <w:sz w:val="20"/>
          <w:szCs w:val="20"/>
        </w:rPr>
      </w:pPr>
      <w:r w:rsidRPr="005B59B3">
        <w:rPr>
          <w:rFonts w:ascii="Avenir Roman" w:hAnsi="Avenir Roman"/>
          <w:color w:val="auto"/>
          <w:sz w:val="20"/>
          <w:szCs w:val="20"/>
        </w:rPr>
        <w:t xml:space="preserve">Die Anzahlung wird mit dem später zu entrichtenden Gesamtpreis der Tätowierung verrechnet. Erfolgt eine Bezahlung in mehreren Terminen, so wird die Anzahlung mit dem für den letzten Termin zu leistenden Honorar verrechnet. </w:t>
      </w:r>
    </w:p>
    <w:p w:rsidR="00C84DCF" w:rsidRPr="005B59B3" w:rsidRDefault="00C84DCF" w:rsidP="005B59B3">
      <w:pPr>
        <w:pStyle w:val="Default"/>
        <w:rPr>
          <w:rFonts w:ascii="Avenir Roman" w:hAnsi="Avenir Roman"/>
          <w:color w:val="auto"/>
          <w:sz w:val="20"/>
          <w:szCs w:val="20"/>
        </w:rPr>
      </w:pPr>
    </w:p>
    <w:p w:rsidR="005B59B3" w:rsidRPr="005B59B3" w:rsidRDefault="005B59B3" w:rsidP="005B59B3">
      <w:pPr>
        <w:pStyle w:val="Default"/>
        <w:rPr>
          <w:rFonts w:ascii="Avenir Roman" w:hAnsi="Avenir Roman"/>
          <w:color w:val="auto"/>
          <w:sz w:val="20"/>
          <w:szCs w:val="20"/>
        </w:rPr>
      </w:pPr>
      <w:r w:rsidRPr="005B59B3">
        <w:rPr>
          <w:rFonts w:ascii="Avenir Roman" w:hAnsi="Avenir Roman"/>
          <w:color w:val="auto"/>
          <w:sz w:val="20"/>
          <w:szCs w:val="20"/>
        </w:rPr>
        <w:t xml:space="preserve">Im Falle einer Terminabsage durch den Kunden aufgrund von Umständen, die er nicht zu vertreten hat, hat dieser Anspruch auf die Vereinbarung jeweils eines Ersatztermins. Im Falle der Vereinbarung eines solchen hat der Kunde keinen Anspruch auf die Rückzahlung der geleisteten Anzahlung. </w:t>
      </w:r>
    </w:p>
    <w:p w:rsidR="005B59B3" w:rsidRDefault="005B59B3" w:rsidP="005B59B3">
      <w:pPr>
        <w:pStyle w:val="Default"/>
        <w:rPr>
          <w:rFonts w:ascii="Avenir Roman" w:hAnsi="Avenir Roman"/>
          <w:color w:val="auto"/>
          <w:sz w:val="20"/>
          <w:szCs w:val="20"/>
        </w:rPr>
      </w:pPr>
      <w:r w:rsidRPr="005B59B3">
        <w:rPr>
          <w:rFonts w:ascii="Avenir Roman" w:hAnsi="Avenir Roman"/>
          <w:color w:val="auto"/>
          <w:sz w:val="20"/>
          <w:szCs w:val="20"/>
        </w:rPr>
        <w:t xml:space="preserve">Erfolgt die Terminabsage aufgrund von Umständen die der Kunde zu vertreten hat, so steht die Vereinbarung von Ersatzterminen im Ermessen des Tätowierers. </w:t>
      </w:r>
    </w:p>
    <w:p w:rsidR="00C84DCF" w:rsidRPr="005B59B3" w:rsidRDefault="00C84DCF" w:rsidP="005B59B3">
      <w:pPr>
        <w:pStyle w:val="Default"/>
        <w:rPr>
          <w:rFonts w:ascii="Avenir Roman" w:hAnsi="Avenir Roman"/>
          <w:color w:val="auto"/>
          <w:sz w:val="20"/>
          <w:szCs w:val="20"/>
        </w:rPr>
      </w:pPr>
    </w:p>
    <w:p w:rsidR="005B59B3" w:rsidRPr="005B59B3" w:rsidRDefault="005B59B3" w:rsidP="005B59B3">
      <w:pPr>
        <w:pStyle w:val="Default"/>
        <w:rPr>
          <w:rFonts w:ascii="Avenir Roman" w:hAnsi="Avenir Roman"/>
          <w:color w:val="auto"/>
          <w:sz w:val="20"/>
          <w:szCs w:val="20"/>
        </w:rPr>
      </w:pPr>
      <w:r w:rsidRPr="005B59B3">
        <w:rPr>
          <w:rFonts w:ascii="Avenir Roman" w:hAnsi="Avenir Roman"/>
          <w:color w:val="auto"/>
          <w:sz w:val="20"/>
          <w:szCs w:val="20"/>
        </w:rPr>
        <w:t xml:space="preserve">Ein Recht auf bevorzugte Behandlung bei der Vergabe eines Ersatztermins besteht nicht. </w:t>
      </w:r>
    </w:p>
    <w:p w:rsidR="005B59B3" w:rsidRPr="005B59B3" w:rsidRDefault="005B59B3" w:rsidP="005B59B3">
      <w:pPr>
        <w:pStyle w:val="Default"/>
        <w:rPr>
          <w:rFonts w:ascii="Avenir Roman" w:hAnsi="Avenir Roman"/>
          <w:color w:val="auto"/>
          <w:sz w:val="20"/>
          <w:szCs w:val="20"/>
        </w:rPr>
      </w:pPr>
      <w:r w:rsidRPr="005B59B3">
        <w:rPr>
          <w:rFonts w:ascii="Avenir Roman" w:hAnsi="Avenir Roman"/>
          <w:color w:val="auto"/>
          <w:sz w:val="20"/>
          <w:szCs w:val="20"/>
        </w:rPr>
        <w:t xml:space="preserve">In Fällen einer Terminabsage durch den Tätowierer wird ein Ersatztermin vereinbart, welcher zum frühestmöglichen Zeitpunkt stattzufinden hat. </w:t>
      </w:r>
    </w:p>
    <w:p w:rsidR="005B59B3" w:rsidRPr="005B59B3" w:rsidRDefault="005B59B3" w:rsidP="005B59B3">
      <w:pPr>
        <w:pStyle w:val="Default"/>
        <w:rPr>
          <w:rFonts w:ascii="Avenir Roman" w:hAnsi="Avenir Roman"/>
          <w:color w:val="auto"/>
          <w:sz w:val="20"/>
          <w:szCs w:val="20"/>
        </w:rPr>
      </w:pPr>
      <w:r w:rsidRPr="005B59B3">
        <w:rPr>
          <w:rFonts w:ascii="Avenir Roman" w:hAnsi="Avenir Roman"/>
          <w:color w:val="auto"/>
          <w:sz w:val="20"/>
          <w:szCs w:val="20"/>
        </w:rPr>
        <w:t xml:space="preserve">Eine Terminvereinbarung ist nur bindend, wenn sie durch uns in Textform bestätigt wird. </w:t>
      </w:r>
    </w:p>
    <w:p w:rsidR="005B59B3" w:rsidRPr="005B59B3" w:rsidRDefault="005B59B3" w:rsidP="005B59B3">
      <w:pPr>
        <w:pStyle w:val="Default"/>
        <w:rPr>
          <w:rFonts w:ascii="Avenir Roman" w:hAnsi="Avenir Roman" w:cs="Times New Roman"/>
          <w:color w:val="auto"/>
          <w:sz w:val="20"/>
          <w:szCs w:val="20"/>
        </w:rPr>
      </w:pPr>
    </w:p>
    <w:p w:rsidR="005B59B3" w:rsidRDefault="005B59B3" w:rsidP="00C84DCF">
      <w:pPr>
        <w:pStyle w:val="Default"/>
        <w:rPr>
          <w:rFonts w:ascii="Avenir Roman" w:hAnsi="Avenir Roman"/>
          <w:color w:val="auto"/>
          <w:sz w:val="20"/>
          <w:szCs w:val="20"/>
        </w:rPr>
      </w:pPr>
      <w:r w:rsidRPr="005B59B3">
        <w:rPr>
          <w:rFonts w:ascii="Avenir Roman" w:hAnsi="Avenir Roman"/>
          <w:color w:val="auto"/>
          <w:sz w:val="20"/>
          <w:szCs w:val="20"/>
        </w:rPr>
        <w:t xml:space="preserve">5. Die Zahlung des Honorars erfolgt unmittelbar nach Durchführung eines jeden Termins in bar. </w:t>
      </w:r>
      <w:r w:rsidR="00186FFD">
        <w:rPr>
          <w:rFonts w:ascii="Avenir Roman" w:hAnsi="Avenir Roman"/>
          <w:color w:val="auto"/>
          <w:sz w:val="20"/>
          <w:szCs w:val="20"/>
        </w:rPr>
        <w:br/>
        <w:t xml:space="preserve">Gutscheine können in jeder Höhe erworben werden. Der Wert der Gutscheine kann nicht ausbezahlt werden, sondern gilt ausschließlich zur Verrechnung einer Dienstleistung oder des Erwerbs eines Produkts bei Carry Easy </w:t>
      </w:r>
      <w:proofErr w:type="spellStart"/>
      <w:r w:rsidR="00186FFD">
        <w:rPr>
          <w:rFonts w:ascii="Avenir Roman" w:hAnsi="Avenir Roman"/>
          <w:color w:val="auto"/>
          <w:sz w:val="20"/>
          <w:szCs w:val="20"/>
        </w:rPr>
        <w:t>Art&amp;Ink</w:t>
      </w:r>
      <w:proofErr w:type="spellEnd"/>
      <w:r w:rsidR="00186FFD">
        <w:rPr>
          <w:rFonts w:ascii="Avenir Roman" w:hAnsi="Avenir Roman"/>
          <w:color w:val="auto"/>
          <w:sz w:val="20"/>
          <w:szCs w:val="20"/>
        </w:rPr>
        <w:t>. Der Gutschein ist drei Kalenderjahre gültig.</w:t>
      </w:r>
    </w:p>
    <w:p w:rsidR="00C84DCF" w:rsidRPr="005B59B3" w:rsidRDefault="00C84DCF" w:rsidP="00C84DCF">
      <w:pPr>
        <w:pStyle w:val="Default"/>
        <w:rPr>
          <w:rFonts w:ascii="Avenir Roman" w:hAnsi="Avenir Roman"/>
          <w:color w:val="auto"/>
          <w:sz w:val="20"/>
          <w:szCs w:val="20"/>
        </w:rPr>
      </w:pPr>
    </w:p>
    <w:p w:rsidR="005B59B3" w:rsidRPr="005B59B3" w:rsidRDefault="005B59B3" w:rsidP="005B59B3">
      <w:pPr>
        <w:pStyle w:val="Default"/>
        <w:spacing w:after="404"/>
        <w:rPr>
          <w:rFonts w:ascii="Avenir Roman" w:hAnsi="Avenir Roman"/>
          <w:color w:val="auto"/>
          <w:sz w:val="20"/>
          <w:szCs w:val="20"/>
        </w:rPr>
      </w:pPr>
      <w:r w:rsidRPr="005B59B3">
        <w:rPr>
          <w:rFonts w:ascii="Avenir Roman" w:hAnsi="Avenir Roman"/>
          <w:color w:val="auto"/>
          <w:sz w:val="20"/>
          <w:szCs w:val="20"/>
        </w:rPr>
        <w:t xml:space="preserve">6. Die Durchführung eines jeden Termins steht unter dem Vorbehalt, dass der Kunde sich bei diesem nicht in einem Zustand befindet, welcher der Durchführung der Tätowierung entgegensteht. Hierzu zählen insbesondere </w:t>
      </w:r>
    </w:p>
    <w:p w:rsidR="005B59B3" w:rsidRPr="005B59B3" w:rsidRDefault="005B59B3" w:rsidP="00C84DCF">
      <w:pPr>
        <w:pStyle w:val="Default"/>
        <w:spacing w:after="80"/>
        <w:rPr>
          <w:rFonts w:ascii="Avenir Roman" w:hAnsi="Avenir Roman"/>
          <w:color w:val="auto"/>
          <w:sz w:val="20"/>
          <w:szCs w:val="20"/>
        </w:rPr>
      </w:pPr>
      <w:r w:rsidRPr="005B59B3">
        <w:rPr>
          <w:rFonts w:ascii="Avenir Roman" w:hAnsi="Avenir Roman"/>
          <w:color w:val="auto"/>
          <w:sz w:val="20"/>
          <w:szCs w:val="20"/>
        </w:rPr>
        <w:t xml:space="preserve">• </w:t>
      </w:r>
      <w:r w:rsidR="00C84DCF">
        <w:rPr>
          <w:rFonts w:ascii="Avenir Roman" w:hAnsi="Avenir Roman"/>
          <w:color w:val="auto"/>
          <w:sz w:val="20"/>
          <w:szCs w:val="20"/>
        </w:rPr>
        <w:t xml:space="preserve"> </w:t>
      </w:r>
      <w:r w:rsidRPr="005B59B3">
        <w:rPr>
          <w:rFonts w:ascii="Avenir Roman" w:hAnsi="Avenir Roman"/>
          <w:color w:val="auto"/>
          <w:sz w:val="20"/>
          <w:szCs w:val="20"/>
        </w:rPr>
        <w:t xml:space="preserve">Alkohol- oder Betäubungsmittelintoxikation, </w:t>
      </w:r>
    </w:p>
    <w:p w:rsidR="005B59B3" w:rsidRPr="005B59B3" w:rsidRDefault="005B59B3" w:rsidP="00C84DCF">
      <w:pPr>
        <w:pStyle w:val="Default"/>
        <w:spacing w:after="80"/>
        <w:rPr>
          <w:rFonts w:ascii="Avenir Roman" w:hAnsi="Avenir Roman"/>
          <w:color w:val="auto"/>
          <w:sz w:val="20"/>
          <w:szCs w:val="20"/>
        </w:rPr>
      </w:pPr>
      <w:r w:rsidRPr="005B59B3">
        <w:rPr>
          <w:rFonts w:ascii="Avenir Roman" w:hAnsi="Avenir Roman"/>
          <w:color w:val="auto"/>
          <w:sz w:val="20"/>
          <w:szCs w:val="20"/>
        </w:rPr>
        <w:t xml:space="preserve">• </w:t>
      </w:r>
      <w:r w:rsidR="00C84DCF">
        <w:rPr>
          <w:rFonts w:ascii="Avenir Roman" w:hAnsi="Avenir Roman"/>
          <w:color w:val="auto"/>
          <w:sz w:val="20"/>
          <w:szCs w:val="20"/>
        </w:rPr>
        <w:t xml:space="preserve"> </w:t>
      </w:r>
      <w:r w:rsidRPr="005B59B3">
        <w:rPr>
          <w:rFonts w:ascii="Avenir Roman" w:hAnsi="Avenir Roman"/>
          <w:color w:val="auto"/>
          <w:sz w:val="20"/>
          <w:szCs w:val="20"/>
        </w:rPr>
        <w:t xml:space="preserve">Die Einnahme gerinnungshemmender oder sonstiger Medikamente, welche die Durchführung einer Tätowierung ausschließen oder wesentlich erschweren, </w:t>
      </w:r>
    </w:p>
    <w:p w:rsidR="005B59B3" w:rsidRPr="005B59B3" w:rsidRDefault="005B59B3" w:rsidP="00C84DCF">
      <w:pPr>
        <w:pStyle w:val="Default"/>
        <w:spacing w:after="80"/>
        <w:rPr>
          <w:rFonts w:ascii="Avenir Roman" w:hAnsi="Avenir Roman"/>
          <w:color w:val="auto"/>
          <w:sz w:val="20"/>
          <w:szCs w:val="20"/>
        </w:rPr>
      </w:pPr>
      <w:r w:rsidRPr="005B59B3">
        <w:rPr>
          <w:rFonts w:ascii="Avenir Roman" w:hAnsi="Avenir Roman"/>
          <w:color w:val="auto"/>
          <w:sz w:val="20"/>
          <w:szCs w:val="20"/>
        </w:rPr>
        <w:t xml:space="preserve">• </w:t>
      </w:r>
      <w:r w:rsidR="00C84DCF">
        <w:rPr>
          <w:rFonts w:ascii="Avenir Roman" w:hAnsi="Avenir Roman"/>
          <w:color w:val="auto"/>
          <w:sz w:val="20"/>
          <w:szCs w:val="20"/>
        </w:rPr>
        <w:t xml:space="preserve"> Die </w:t>
      </w:r>
      <w:proofErr w:type="spellStart"/>
      <w:r w:rsidR="00C84DCF">
        <w:rPr>
          <w:rFonts w:ascii="Avenir Roman" w:hAnsi="Avenir Roman"/>
          <w:color w:val="auto"/>
          <w:sz w:val="20"/>
          <w:szCs w:val="20"/>
        </w:rPr>
        <w:t>unabgesprochene</w:t>
      </w:r>
      <w:proofErr w:type="spellEnd"/>
      <w:r w:rsidR="00C84DCF">
        <w:rPr>
          <w:rFonts w:ascii="Avenir Roman" w:hAnsi="Avenir Roman"/>
          <w:color w:val="auto"/>
          <w:sz w:val="20"/>
          <w:szCs w:val="20"/>
        </w:rPr>
        <w:t xml:space="preserve"> Applikation von </w:t>
      </w:r>
      <w:proofErr w:type="spellStart"/>
      <w:r w:rsidR="00C84DCF">
        <w:rPr>
          <w:rFonts w:ascii="Avenir Roman" w:hAnsi="Avenir Roman"/>
          <w:color w:val="auto"/>
          <w:sz w:val="20"/>
          <w:szCs w:val="20"/>
        </w:rPr>
        <w:t>Oberflächenasthetika</w:t>
      </w:r>
      <w:proofErr w:type="spellEnd"/>
    </w:p>
    <w:p w:rsidR="005B59B3" w:rsidRPr="005B59B3" w:rsidRDefault="005B59B3" w:rsidP="00C84DCF">
      <w:pPr>
        <w:pStyle w:val="Default"/>
        <w:spacing w:after="80"/>
        <w:rPr>
          <w:rFonts w:ascii="Avenir Roman" w:hAnsi="Avenir Roman"/>
          <w:color w:val="auto"/>
          <w:sz w:val="20"/>
          <w:szCs w:val="20"/>
        </w:rPr>
      </w:pPr>
      <w:r w:rsidRPr="005B59B3">
        <w:rPr>
          <w:rFonts w:ascii="Avenir Roman" w:hAnsi="Avenir Roman"/>
          <w:color w:val="auto"/>
          <w:sz w:val="20"/>
          <w:szCs w:val="20"/>
        </w:rPr>
        <w:t xml:space="preserve">• </w:t>
      </w:r>
      <w:r w:rsidR="00C84DCF">
        <w:rPr>
          <w:rFonts w:ascii="Avenir Roman" w:hAnsi="Avenir Roman"/>
          <w:color w:val="auto"/>
          <w:sz w:val="20"/>
          <w:szCs w:val="20"/>
        </w:rPr>
        <w:t xml:space="preserve"> </w:t>
      </w:r>
      <w:r w:rsidRPr="005B59B3">
        <w:rPr>
          <w:rFonts w:ascii="Avenir Roman" w:hAnsi="Avenir Roman"/>
          <w:color w:val="auto"/>
          <w:sz w:val="20"/>
          <w:szCs w:val="20"/>
        </w:rPr>
        <w:t xml:space="preserve">Erkrankungen, welche die Durchführung einer Tätowierung ausschließen oder wesentlich erschweren, </w:t>
      </w:r>
    </w:p>
    <w:p w:rsidR="005B59B3" w:rsidRPr="005B59B3" w:rsidRDefault="005B59B3" w:rsidP="00C84DCF">
      <w:pPr>
        <w:pStyle w:val="Default"/>
        <w:spacing w:after="80"/>
        <w:rPr>
          <w:rFonts w:ascii="Avenir Roman" w:hAnsi="Avenir Roman"/>
          <w:color w:val="auto"/>
          <w:sz w:val="20"/>
          <w:szCs w:val="20"/>
        </w:rPr>
      </w:pPr>
      <w:r w:rsidRPr="005B59B3">
        <w:rPr>
          <w:rFonts w:ascii="Avenir Roman" w:hAnsi="Avenir Roman"/>
          <w:color w:val="auto"/>
          <w:sz w:val="20"/>
          <w:szCs w:val="20"/>
        </w:rPr>
        <w:t xml:space="preserve">• </w:t>
      </w:r>
      <w:r w:rsidR="00C84DCF">
        <w:rPr>
          <w:rFonts w:ascii="Avenir Roman" w:hAnsi="Avenir Roman"/>
          <w:color w:val="auto"/>
          <w:sz w:val="20"/>
          <w:szCs w:val="20"/>
        </w:rPr>
        <w:t xml:space="preserve"> </w:t>
      </w:r>
      <w:r w:rsidRPr="005B59B3">
        <w:rPr>
          <w:rFonts w:ascii="Avenir Roman" w:hAnsi="Avenir Roman"/>
          <w:color w:val="auto"/>
          <w:sz w:val="20"/>
          <w:szCs w:val="20"/>
        </w:rPr>
        <w:t xml:space="preserve">Eine bekannte Allergie gegen Inhaltsstoffe von </w:t>
      </w:r>
      <w:proofErr w:type="spellStart"/>
      <w:r w:rsidRPr="005B59B3">
        <w:rPr>
          <w:rFonts w:ascii="Avenir Roman" w:hAnsi="Avenir Roman"/>
          <w:color w:val="auto"/>
          <w:sz w:val="20"/>
          <w:szCs w:val="20"/>
        </w:rPr>
        <w:t>Tätowierfarben</w:t>
      </w:r>
      <w:proofErr w:type="spellEnd"/>
      <w:r w:rsidRPr="005B59B3">
        <w:rPr>
          <w:rFonts w:ascii="Avenir Roman" w:hAnsi="Avenir Roman"/>
          <w:color w:val="auto"/>
          <w:sz w:val="20"/>
          <w:szCs w:val="20"/>
        </w:rPr>
        <w:t xml:space="preserve"> oder sonstige </w:t>
      </w:r>
      <w:proofErr w:type="spellStart"/>
      <w:r w:rsidRPr="005B59B3">
        <w:rPr>
          <w:rFonts w:ascii="Avenir Roman" w:hAnsi="Avenir Roman"/>
          <w:color w:val="auto"/>
          <w:sz w:val="20"/>
          <w:szCs w:val="20"/>
        </w:rPr>
        <w:t>Tätowiermittel</w:t>
      </w:r>
      <w:proofErr w:type="spellEnd"/>
      <w:r w:rsidRPr="005B59B3">
        <w:rPr>
          <w:rFonts w:ascii="Avenir Roman" w:hAnsi="Avenir Roman"/>
          <w:color w:val="auto"/>
          <w:sz w:val="20"/>
          <w:szCs w:val="20"/>
        </w:rPr>
        <w:t xml:space="preserve">, </w:t>
      </w:r>
    </w:p>
    <w:p w:rsidR="005B59B3" w:rsidRPr="005B59B3" w:rsidRDefault="005B59B3" w:rsidP="00C84DCF">
      <w:pPr>
        <w:pStyle w:val="Default"/>
        <w:spacing w:after="80"/>
        <w:rPr>
          <w:rFonts w:ascii="Avenir Roman" w:hAnsi="Avenir Roman"/>
          <w:color w:val="auto"/>
          <w:sz w:val="20"/>
          <w:szCs w:val="20"/>
        </w:rPr>
      </w:pPr>
      <w:r w:rsidRPr="005B59B3">
        <w:rPr>
          <w:rFonts w:ascii="Avenir Roman" w:hAnsi="Avenir Roman"/>
          <w:color w:val="auto"/>
          <w:sz w:val="20"/>
          <w:szCs w:val="20"/>
        </w:rPr>
        <w:t xml:space="preserve">• </w:t>
      </w:r>
      <w:r w:rsidR="00C84DCF">
        <w:rPr>
          <w:rFonts w:ascii="Avenir Roman" w:hAnsi="Avenir Roman"/>
          <w:color w:val="auto"/>
          <w:sz w:val="20"/>
          <w:szCs w:val="20"/>
        </w:rPr>
        <w:t xml:space="preserve"> </w:t>
      </w:r>
      <w:r w:rsidRPr="005B59B3">
        <w:rPr>
          <w:rFonts w:ascii="Avenir Roman" w:hAnsi="Avenir Roman"/>
          <w:color w:val="auto"/>
          <w:sz w:val="20"/>
          <w:szCs w:val="20"/>
        </w:rPr>
        <w:t xml:space="preserve">ein für den Tätowierer unzumutbarer hygienischer Zustand des Kunden, </w:t>
      </w:r>
    </w:p>
    <w:p w:rsidR="005B59B3" w:rsidRPr="005B59B3" w:rsidRDefault="005B59B3" w:rsidP="00C84DCF">
      <w:pPr>
        <w:pStyle w:val="Default"/>
        <w:spacing w:after="80"/>
        <w:rPr>
          <w:rFonts w:ascii="Avenir Roman" w:hAnsi="Avenir Roman"/>
          <w:color w:val="auto"/>
          <w:sz w:val="20"/>
          <w:szCs w:val="20"/>
        </w:rPr>
      </w:pPr>
      <w:r w:rsidRPr="005B59B3">
        <w:rPr>
          <w:rFonts w:ascii="Avenir Roman" w:hAnsi="Avenir Roman"/>
          <w:color w:val="auto"/>
          <w:sz w:val="20"/>
          <w:szCs w:val="20"/>
        </w:rPr>
        <w:t xml:space="preserve">• </w:t>
      </w:r>
      <w:r w:rsidR="00C84DCF">
        <w:rPr>
          <w:rFonts w:ascii="Avenir Roman" w:hAnsi="Avenir Roman"/>
          <w:color w:val="auto"/>
          <w:sz w:val="20"/>
          <w:szCs w:val="20"/>
        </w:rPr>
        <w:t xml:space="preserve"> </w:t>
      </w:r>
      <w:r w:rsidRPr="005B59B3">
        <w:rPr>
          <w:rFonts w:ascii="Avenir Roman" w:hAnsi="Avenir Roman"/>
          <w:color w:val="auto"/>
          <w:sz w:val="20"/>
          <w:szCs w:val="20"/>
        </w:rPr>
        <w:t xml:space="preserve">ein Geistes- oder Reifezustand, welcher der wirksamen Einwilligung in eine Körperverletzung entgegensteht. </w:t>
      </w:r>
    </w:p>
    <w:p w:rsidR="005B59B3" w:rsidRPr="005B59B3" w:rsidRDefault="005B59B3" w:rsidP="00C84DCF">
      <w:pPr>
        <w:pStyle w:val="Default"/>
        <w:spacing w:after="80"/>
        <w:rPr>
          <w:rFonts w:ascii="Avenir Roman" w:hAnsi="Avenir Roman"/>
          <w:color w:val="auto"/>
          <w:sz w:val="20"/>
          <w:szCs w:val="20"/>
        </w:rPr>
      </w:pPr>
      <w:r w:rsidRPr="005B59B3">
        <w:rPr>
          <w:rFonts w:ascii="Avenir Roman" w:hAnsi="Avenir Roman"/>
          <w:color w:val="auto"/>
          <w:sz w:val="20"/>
          <w:szCs w:val="20"/>
        </w:rPr>
        <w:t xml:space="preserve">• </w:t>
      </w:r>
      <w:r w:rsidR="00C84DCF">
        <w:rPr>
          <w:rFonts w:ascii="Avenir Roman" w:hAnsi="Avenir Roman"/>
          <w:color w:val="auto"/>
          <w:sz w:val="20"/>
          <w:szCs w:val="20"/>
        </w:rPr>
        <w:t xml:space="preserve"> </w:t>
      </w:r>
      <w:r w:rsidRPr="005B59B3">
        <w:rPr>
          <w:rFonts w:ascii="Avenir Roman" w:hAnsi="Avenir Roman"/>
          <w:color w:val="auto"/>
          <w:sz w:val="20"/>
          <w:szCs w:val="20"/>
        </w:rPr>
        <w:t xml:space="preserve">Schwangerschaft oder Stillzeit der Kundin </w:t>
      </w:r>
    </w:p>
    <w:p w:rsidR="005B59B3" w:rsidRPr="005B59B3" w:rsidRDefault="005B59B3" w:rsidP="00C84DCF">
      <w:pPr>
        <w:pStyle w:val="Default"/>
        <w:rPr>
          <w:rFonts w:ascii="Avenir Roman" w:hAnsi="Avenir Roman"/>
          <w:color w:val="auto"/>
          <w:sz w:val="20"/>
          <w:szCs w:val="20"/>
        </w:rPr>
      </w:pPr>
    </w:p>
    <w:p w:rsidR="005B59B3" w:rsidRPr="005B59B3" w:rsidRDefault="005B59B3" w:rsidP="005B59B3">
      <w:pPr>
        <w:pStyle w:val="Default"/>
        <w:rPr>
          <w:rFonts w:ascii="Avenir Roman" w:hAnsi="Avenir Roman"/>
          <w:color w:val="auto"/>
          <w:sz w:val="20"/>
          <w:szCs w:val="20"/>
        </w:rPr>
      </w:pPr>
      <w:r w:rsidRPr="005B59B3">
        <w:rPr>
          <w:rFonts w:ascii="Avenir Roman" w:hAnsi="Avenir Roman"/>
          <w:color w:val="auto"/>
          <w:sz w:val="20"/>
          <w:szCs w:val="20"/>
        </w:rPr>
        <w:t xml:space="preserve">Dasselbe gilt, wenn der Kunde sich auf eine Art und Weise verhält, welche die erfolgreiche Durchführung der Behandlung als unsicher erscheinen lässt. </w:t>
      </w:r>
    </w:p>
    <w:p w:rsidR="005B59B3" w:rsidRDefault="005B59B3" w:rsidP="005B59B3">
      <w:pPr>
        <w:pStyle w:val="Default"/>
        <w:rPr>
          <w:rFonts w:ascii="Avenir Roman" w:hAnsi="Avenir Roman"/>
          <w:color w:val="auto"/>
          <w:sz w:val="20"/>
          <w:szCs w:val="20"/>
        </w:rPr>
      </w:pPr>
      <w:r w:rsidRPr="005B59B3">
        <w:rPr>
          <w:rFonts w:ascii="Avenir Roman" w:hAnsi="Avenir Roman"/>
          <w:color w:val="auto"/>
          <w:sz w:val="20"/>
          <w:szCs w:val="20"/>
        </w:rPr>
        <w:t xml:space="preserve">Der Kunde hat vor jedem Termin eine schriftliche Einwilligungserklärung abzugeben. Unterlässt er dieses oder ist er rechtlich hierzu nicht in der Lage oder liegt sonst ein in diesem Vertrag geregelter Grund in der Person oder dem Verhalten des Kunden vor, welcher der Durchführung des jeweiligen Termins entgegensteht, so gilt dies als Terminabsage durch den Kunden aufgrund von Umständen, die er zu vertreten hat. </w:t>
      </w:r>
    </w:p>
    <w:p w:rsidR="00C84DCF" w:rsidRPr="005B59B3" w:rsidRDefault="00C84DCF" w:rsidP="005B59B3">
      <w:pPr>
        <w:pStyle w:val="Default"/>
        <w:rPr>
          <w:rFonts w:ascii="Avenir Roman" w:hAnsi="Avenir Roman"/>
          <w:color w:val="auto"/>
          <w:sz w:val="20"/>
          <w:szCs w:val="20"/>
        </w:rPr>
      </w:pPr>
    </w:p>
    <w:p w:rsidR="005B59B3" w:rsidRPr="005B59B3" w:rsidRDefault="005B59B3" w:rsidP="005B59B3">
      <w:pPr>
        <w:pStyle w:val="Default"/>
        <w:rPr>
          <w:rFonts w:ascii="Avenir Roman" w:hAnsi="Avenir Roman"/>
          <w:color w:val="auto"/>
          <w:sz w:val="20"/>
          <w:szCs w:val="20"/>
        </w:rPr>
      </w:pPr>
      <w:r w:rsidRPr="005B59B3">
        <w:rPr>
          <w:rFonts w:ascii="Avenir Roman" w:hAnsi="Avenir Roman"/>
          <w:color w:val="auto"/>
          <w:sz w:val="20"/>
          <w:szCs w:val="20"/>
        </w:rPr>
        <w:t>7. Soweit es sich bei der gewünschten Tätowierung um ein Cover-</w:t>
      </w:r>
      <w:proofErr w:type="spellStart"/>
      <w:r w:rsidRPr="005B59B3">
        <w:rPr>
          <w:rFonts w:ascii="Avenir Roman" w:hAnsi="Avenir Roman"/>
          <w:color w:val="auto"/>
          <w:sz w:val="20"/>
          <w:szCs w:val="20"/>
        </w:rPr>
        <w:t>Up</w:t>
      </w:r>
      <w:proofErr w:type="spellEnd"/>
      <w:r w:rsidRPr="005B59B3">
        <w:rPr>
          <w:rFonts w:ascii="Avenir Roman" w:hAnsi="Avenir Roman"/>
          <w:color w:val="auto"/>
          <w:sz w:val="20"/>
          <w:szCs w:val="20"/>
        </w:rPr>
        <w:t xml:space="preserve"> handelt wird keine Gewähr dafür übernommen, dass eine vollständige Abdeckung des zu überdeckenden Tattoos erreicht wird. Zugleich wird ausdrücklich darauf hingewiesen, dass es aufgrund von Wechselwirkungen zwischen der bereits </w:t>
      </w:r>
    </w:p>
    <w:p w:rsidR="005B59B3" w:rsidRPr="005B59B3" w:rsidRDefault="005B59B3" w:rsidP="005B59B3">
      <w:pPr>
        <w:pStyle w:val="Default"/>
        <w:rPr>
          <w:rFonts w:ascii="Avenir Roman" w:hAnsi="Avenir Roman"/>
          <w:color w:val="auto"/>
          <w:sz w:val="20"/>
          <w:szCs w:val="20"/>
        </w:rPr>
      </w:pPr>
      <w:r w:rsidRPr="005B59B3">
        <w:rPr>
          <w:rFonts w:ascii="Avenir Roman" w:hAnsi="Avenir Roman"/>
          <w:color w:val="auto"/>
          <w:sz w:val="20"/>
          <w:szCs w:val="20"/>
        </w:rPr>
        <w:t xml:space="preserve">vorhandenen und der neu einzubringenden </w:t>
      </w:r>
      <w:proofErr w:type="spellStart"/>
      <w:r w:rsidRPr="005B59B3">
        <w:rPr>
          <w:rFonts w:ascii="Avenir Roman" w:hAnsi="Avenir Roman"/>
          <w:color w:val="auto"/>
          <w:sz w:val="20"/>
          <w:szCs w:val="20"/>
        </w:rPr>
        <w:t>Tätowierfarbe</w:t>
      </w:r>
      <w:proofErr w:type="spellEnd"/>
      <w:r w:rsidRPr="005B59B3">
        <w:rPr>
          <w:rFonts w:ascii="Avenir Roman" w:hAnsi="Avenir Roman"/>
          <w:color w:val="auto"/>
          <w:sz w:val="20"/>
          <w:szCs w:val="20"/>
        </w:rPr>
        <w:t xml:space="preserve"> sowohl zu ästhetisch ungewollten Ergebnissen als auch nicht vorhersehbaren Reaktionen der Haut sowie Narbenbildung kommen kann. Für die Folgen solcher Interaktionen zwischen dem bereits vorhandenen Tattoo und der Cover-</w:t>
      </w:r>
      <w:proofErr w:type="spellStart"/>
      <w:r w:rsidRPr="005B59B3">
        <w:rPr>
          <w:rFonts w:ascii="Avenir Roman" w:hAnsi="Avenir Roman"/>
          <w:color w:val="auto"/>
          <w:sz w:val="20"/>
          <w:szCs w:val="20"/>
        </w:rPr>
        <w:t>Up</w:t>
      </w:r>
      <w:proofErr w:type="spellEnd"/>
      <w:r w:rsidRPr="005B59B3">
        <w:rPr>
          <w:rFonts w:ascii="Avenir Roman" w:hAnsi="Avenir Roman"/>
          <w:color w:val="auto"/>
          <w:sz w:val="20"/>
          <w:szCs w:val="20"/>
        </w:rPr>
        <w:t xml:space="preserve"> Tätowierung kann eine Haftung nicht übernommen werden. </w:t>
      </w:r>
    </w:p>
    <w:p w:rsidR="005B59B3" w:rsidRPr="005B59B3" w:rsidRDefault="005B59B3" w:rsidP="005B59B3">
      <w:pPr>
        <w:pStyle w:val="Default"/>
        <w:rPr>
          <w:rFonts w:ascii="Avenir Roman" w:hAnsi="Avenir Roman"/>
          <w:color w:val="auto"/>
          <w:sz w:val="20"/>
          <w:szCs w:val="20"/>
        </w:rPr>
      </w:pPr>
    </w:p>
    <w:p w:rsidR="005B59B3" w:rsidRPr="005B59B3" w:rsidRDefault="005B59B3" w:rsidP="005B59B3">
      <w:pPr>
        <w:pStyle w:val="Default"/>
        <w:rPr>
          <w:rFonts w:ascii="Avenir Roman" w:hAnsi="Avenir Roman"/>
          <w:color w:val="auto"/>
          <w:sz w:val="20"/>
          <w:szCs w:val="20"/>
        </w:rPr>
      </w:pPr>
      <w:r w:rsidRPr="005B59B3">
        <w:rPr>
          <w:rFonts w:ascii="Avenir Roman" w:hAnsi="Avenir Roman"/>
          <w:color w:val="auto"/>
          <w:sz w:val="20"/>
          <w:szCs w:val="20"/>
        </w:rPr>
        <w:t xml:space="preserve">8. Soweit es auf zu tätowierenden Hautarealen im Vorfeld der Tätowierung zu einer Laserbehandlung gekommen ist, kann dies die Qualität und Haltbarkeit der Tätowierung nachteilig beeinflussen. Dasselbe gilt für bereits vernarbte Hautareale. Für unerwünschte optische Effekte, Farbabweichungen, Narbenbildungen, Farbverläufe, Wundheilungsstörungen und/oder sonstige unerwünschte Folgen der Tätowierung laserbehandelter oder anderweitig vernarbter Haut kann ebenfalls keine Haftung übernommen werden. </w:t>
      </w:r>
    </w:p>
    <w:p w:rsidR="005B59B3" w:rsidRPr="005B59B3" w:rsidRDefault="005B59B3" w:rsidP="005B59B3">
      <w:pPr>
        <w:pStyle w:val="Default"/>
        <w:rPr>
          <w:rFonts w:ascii="Avenir Roman" w:hAnsi="Avenir Roman"/>
          <w:color w:val="auto"/>
          <w:sz w:val="20"/>
          <w:szCs w:val="20"/>
        </w:rPr>
      </w:pPr>
    </w:p>
    <w:p w:rsidR="005B59B3" w:rsidRPr="005B59B3" w:rsidRDefault="005B59B3" w:rsidP="005B59B3">
      <w:pPr>
        <w:pStyle w:val="Default"/>
        <w:rPr>
          <w:rFonts w:ascii="Avenir Roman" w:hAnsi="Avenir Roman"/>
          <w:color w:val="auto"/>
          <w:sz w:val="20"/>
          <w:szCs w:val="20"/>
        </w:rPr>
      </w:pPr>
      <w:r w:rsidRPr="005B59B3">
        <w:rPr>
          <w:rFonts w:ascii="Avenir Roman" w:hAnsi="Avenir Roman"/>
          <w:color w:val="auto"/>
          <w:sz w:val="20"/>
          <w:szCs w:val="20"/>
        </w:rPr>
        <w:lastRenderedPageBreak/>
        <w:t xml:space="preserve">9. Für die orthografische Richtigkeit einer Tätowierung – gleich in welcher Sprache - wird keinerlei Haftung übernommen. Dasselbe gilt für Datumsangaben etc. in fremden Formaten. Der Kunde wird ausdrücklich aufgefordert, sich vor der Durchführung der eigentlichen Tätowierung zu versichern, dass der gewünschte Schriftzug die begehrte Schreibweise und korrekte Rechtschreibung aufweist. </w:t>
      </w:r>
    </w:p>
    <w:p w:rsidR="005B59B3" w:rsidRPr="005B59B3" w:rsidRDefault="005B59B3" w:rsidP="005B59B3">
      <w:pPr>
        <w:pStyle w:val="Default"/>
        <w:rPr>
          <w:rFonts w:ascii="Avenir Roman" w:hAnsi="Avenir Roman"/>
          <w:color w:val="auto"/>
          <w:sz w:val="20"/>
          <w:szCs w:val="20"/>
        </w:rPr>
      </w:pPr>
    </w:p>
    <w:p w:rsidR="005B59B3" w:rsidRPr="005B59B3" w:rsidRDefault="005B59B3" w:rsidP="005B59B3">
      <w:pPr>
        <w:pStyle w:val="Default"/>
        <w:rPr>
          <w:rFonts w:ascii="Avenir Roman" w:hAnsi="Avenir Roman"/>
          <w:color w:val="auto"/>
          <w:sz w:val="20"/>
          <w:szCs w:val="20"/>
        </w:rPr>
      </w:pPr>
      <w:r w:rsidRPr="005B59B3">
        <w:rPr>
          <w:rFonts w:ascii="Avenir Roman" w:hAnsi="Avenir Roman"/>
          <w:color w:val="auto"/>
          <w:sz w:val="20"/>
          <w:szCs w:val="20"/>
        </w:rPr>
        <w:t xml:space="preserve">10. Für Komplikationen, welche außerhalb unserer Beherrschbarkeit liegen (z.B. Pigmentmigrationen - sogenannte Blowouts - aufgrund einer dafür prädestinierten Hautbeschaffenheit, allergische oder nichtallergische Fremdkörperreaktionen sowie Fototoxische Reaktionen auf eine </w:t>
      </w:r>
      <w:proofErr w:type="spellStart"/>
      <w:r w:rsidRPr="005B59B3">
        <w:rPr>
          <w:rFonts w:ascii="Avenir Roman" w:hAnsi="Avenir Roman"/>
          <w:color w:val="auto"/>
          <w:sz w:val="20"/>
          <w:szCs w:val="20"/>
        </w:rPr>
        <w:t>Tätowierfarbe</w:t>
      </w:r>
      <w:proofErr w:type="spellEnd"/>
      <w:r w:rsidRPr="005B59B3">
        <w:rPr>
          <w:rFonts w:ascii="Avenir Roman" w:hAnsi="Avenir Roman"/>
          <w:color w:val="auto"/>
          <w:sz w:val="20"/>
          <w:szCs w:val="20"/>
        </w:rPr>
        <w:t xml:space="preserve">, usw.) können wir keine Haftung übernehmen. </w:t>
      </w:r>
    </w:p>
    <w:p w:rsidR="005B59B3" w:rsidRPr="005B59B3" w:rsidRDefault="005B59B3" w:rsidP="005B59B3">
      <w:pPr>
        <w:pStyle w:val="Default"/>
        <w:rPr>
          <w:rFonts w:ascii="Avenir Roman" w:hAnsi="Avenir Roman"/>
          <w:color w:val="auto"/>
          <w:sz w:val="20"/>
          <w:szCs w:val="20"/>
        </w:rPr>
      </w:pPr>
    </w:p>
    <w:p w:rsidR="005B59B3" w:rsidRPr="005B59B3" w:rsidRDefault="005B59B3" w:rsidP="005B59B3">
      <w:pPr>
        <w:pStyle w:val="Default"/>
        <w:rPr>
          <w:rFonts w:ascii="Avenir Roman" w:hAnsi="Avenir Roman"/>
          <w:color w:val="auto"/>
          <w:sz w:val="20"/>
          <w:szCs w:val="20"/>
        </w:rPr>
      </w:pPr>
      <w:r w:rsidRPr="005B59B3">
        <w:rPr>
          <w:rFonts w:ascii="Avenir Roman" w:hAnsi="Avenir Roman"/>
          <w:color w:val="auto"/>
          <w:sz w:val="20"/>
          <w:szCs w:val="20"/>
        </w:rPr>
        <w:t xml:space="preserve">11. Für Komplikationen bei der Wundheilung und daraus möglicherweise resultierende Folgen (Wundinfektionen, Vernarbungen, Beschädigungen einer Tätowierung etc.) infolge von Nachsorgefehlern oder Nachlässigkeiten durch den Kunden wird ebenfalls keine Haftung übernommen. Der Kunde wird aufgefordert, sich an die ihm überlassene Pflegeanleitung zu halten und im Falle eines unerwarteten Heilungsverlaufs unmittelbar mit uns in Kontakt zu treten oder – bei erheblichen Problemen oder Komplikationen außerhalb unserer Geschäftszeiten – einen fachlich versierten Arzt aufzusuchen. </w:t>
      </w:r>
    </w:p>
    <w:p w:rsidR="005B59B3" w:rsidRPr="005B59B3" w:rsidRDefault="005B59B3" w:rsidP="005B59B3">
      <w:pPr>
        <w:pStyle w:val="Default"/>
        <w:rPr>
          <w:rFonts w:ascii="Avenir Roman" w:hAnsi="Avenir Roman" w:cs="Times New Roman"/>
          <w:color w:val="auto"/>
          <w:sz w:val="20"/>
          <w:szCs w:val="20"/>
        </w:rPr>
      </w:pPr>
    </w:p>
    <w:p w:rsidR="005B59B3" w:rsidRDefault="005B59B3" w:rsidP="00C84DCF">
      <w:pPr>
        <w:pStyle w:val="Default"/>
        <w:rPr>
          <w:rFonts w:ascii="Avenir Roman" w:hAnsi="Avenir Roman"/>
          <w:color w:val="auto"/>
          <w:sz w:val="20"/>
          <w:szCs w:val="20"/>
        </w:rPr>
      </w:pPr>
      <w:r w:rsidRPr="00C84DCF">
        <w:rPr>
          <w:rFonts w:ascii="Avenir Roman" w:hAnsi="Avenir Roman"/>
          <w:color w:val="auto"/>
          <w:sz w:val="20"/>
          <w:szCs w:val="20"/>
        </w:rPr>
        <w:t xml:space="preserve">12. Sollte es im Zuge der Abheilung einer Tätowierung zu Farbverlusten der Tätowierung kommen, so kann der Kunde ein unentgeltliches Nachstechen nur dann verlangen, wenn diese ihre Ursache nicht in einer unsachgemäßen Pflege der Tätowierung nach der Durchführung des Termins haben oder durch nachteilige Umwelteinflüsse (UV-Exposition) entstanden ist. In allen anderen Fällen sind Nachstechtermine entgeltlich. Soweit der Kunde nicht binnen </w:t>
      </w:r>
      <w:r w:rsidR="00635029">
        <w:rPr>
          <w:rFonts w:ascii="Avenir Roman" w:hAnsi="Avenir Roman"/>
          <w:color w:val="auto"/>
          <w:sz w:val="20"/>
          <w:szCs w:val="20"/>
        </w:rPr>
        <w:t>drei</w:t>
      </w:r>
      <w:r w:rsidRPr="00C84DCF">
        <w:rPr>
          <w:rFonts w:ascii="Avenir Roman" w:hAnsi="Avenir Roman"/>
          <w:color w:val="auto"/>
          <w:sz w:val="20"/>
          <w:szCs w:val="20"/>
        </w:rPr>
        <w:t xml:space="preserve"> Monaten nach Vollendung der Tätowierung anzeigt, dass ein unverschuldeter Farbverlust eingetreten ist, wird vermutet, dass ein solcher durch den Kunden verschuldet oder durch Umwelteinflüsse entstanden ist. Erfüllungsort für die Nachstechtermine ist – </w:t>
      </w:r>
      <w:r w:rsidR="00C84DCF">
        <w:rPr>
          <w:rFonts w:ascii="Avenir Roman" w:hAnsi="Avenir Roman"/>
          <w:color w:val="auto"/>
          <w:sz w:val="20"/>
          <w:szCs w:val="20"/>
        </w:rPr>
        <w:t>s</w:t>
      </w:r>
      <w:r w:rsidRPr="00C84DCF">
        <w:rPr>
          <w:rFonts w:ascii="Avenir Roman" w:hAnsi="Avenir Roman"/>
          <w:color w:val="auto"/>
          <w:sz w:val="20"/>
          <w:szCs w:val="20"/>
        </w:rPr>
        <w:t xml:space="preserve">oweit nicht im Einzelfall etwas anderes vereinbart ist – Kronach. Für die Vereinbarung und Durchführung eines Nachstechtermins gelten die Regelungen der Ziffern 4 zur Terminabsage sowie der Ziffer 6 entsprechend. </w:t>
      </w:r>
    </w:p>
    <w:p w:rsidR="00C84DCF" w:rsidRPr="00C84DCF" w:rsidRDefault="00C84DCF" w:rsidP="00C84DCF">
      <w:pPr>
        <w:pStyle w:val="Default"/>
        <w:rPr>
          <w:rFonts w:ascii="Avenir Roman" w:hAnsi="Avenir Roman"/>
          <w:color w:val="auto"/>
          <w:sz w:val="20"/>
          <w:szCs w:val="20"/>
        </w:rPr>
      </w:pPr>
    </w:p>
    <w:p w:rsidR="005B59B3" w:rsidRDefault="005B59B3" w:rsidP="00C84DCF">
      <w:pPr>
        <w:pStyle w:val="Default"/>
        <w:rPr>
          <w:rFonts w:ascii="Avenir Roman" w:hAnsi="Avenir Roman"/>
          <w:color w:val="auto"/>
          <w:sz w:val="20"/>
          <w:szCs w:val="20"/>
        </w:rPr>
      </w:pPr>
      <w:r w:rsidRPr="00C84DCF">
        <w:rPr>
          <w:rFonts w:ascii="Avenir Roman" w:hAnsi="Avenir Roman"/>
          <w:color w:val="auto"/>
          <w:sz w:val="20"/>
          <w:szCs w:val="20"/>
        </w:rPr>
        <w:t xml:space="preserve">13. Der Kunde gewährt dem Tätowierer ein unentgeltliches inhaltlich, räumlich, sowie zeitlich unbeschränktes Nutzungs-, Vervielfältigungs- und Veröffentlichungsrecht an sämtlichen Fotografien, welche dieser von der erstellten Arbeit anfertigt. </w:t>
      </w:r>
    </w:p>
    <w:p w:rsidR="00C84DCF" w:rsidRPr="00C84DCF" w:rsidRDefault="00C84DCF" w:rsidP="00C84DCF">
      <w:pPr>
        <w:pStyle w:val="Default"/>
        <w:rPr>
          <w:rFonts w:ascii="Avenir Roman" w:hAnsi="Avenir Roman"/>
          <w:color w:val="auto"/>
          <w:sz w:val="20"/>
          <w:szCs w:val="20"/>
        </w:rPr>
      </w:pPr>
    </w:p>
    <w:p w:rsidR="005B59B3" w:rsidRPr="00C84DCF" w:rsidRDefault="005B59B3" w:rsidP="005B59B3">
      <w:pPr>
        <w:pStyle w:val="Default"/>
        <w:rPr>
          <w:rFonts w:ascii="Avenir Roman" w:hAnsi="Avenir Roman"/>
          <w:color w:val="auto"/>
          <w:sz w:val="20"/>
          <w:szCs w:val="20"/>
        </w:rPr>
      </w:pPr>
      <w:r w:rsidRPr="00C84DCF">
        <w:rPr>
          <w:rFonts w:ascii="Avenir Roman" w:hAnsi="Avenir Roman"/>
          <w:color w:val="auto"/>
          <w:sz w:val="20"/>
          <w:szCs w:val="20"/>
        </w:rPr>
        <w:t xml:space="preserve">14. Es gelten ergänzend die Vorschriften des Bürgerlichen Gesetzbuches in der jeweils gültigen Fassung soweit diese nicht zu diesen Geschäftsbedingungen im Widerspruch stehen. </w:t>
      </w:r>
    </w:p>
    <w:p w:rsidR="0095343C" w:rsidRPr="00E50C6C" w:rsidRDefault="0095343C" w:rsidP="005B59B3">
      <w:pPr>
        <w:pStyle w:val="Listenabsatz"/>
        <w:spacing w:after="80" w:line="360" w:lineRule="auto"/>
        <w:ind w:left="426"/>
        <w:jc w:val="both"/>
        <w:rPr>
          <w:rFonts w:ascii="Avenir Roman" w:hAnsi="Avenir Roman"/>
          <w:sz w:val="20"/>
          <w:szCs w:val="20"/>
        </w:rPr>
      </w:pPr>
    </w:p>
    <w:sectPr w:rsidR="0095343C" w:rsidRPr="00E50C6C" w:rsidSect="00FC4214">
      <w:headerReference w:type="even" r:id="rId8"/>
      <w:footerReference w:type="default" r:id="rId9"/>
      <w:headerReference w:type="first" r:id="rId10"/>
      <w:pgSz w:w="11900" w:h="16820" w:code="9"/>
      <w:pgMar w:top="1134" w:right="1134" w:bottom="1134" w:left="1134" w:header="0" w:footer="2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41531" w:rsidRDefault="00441531">
      <w:r>
        <w:separator/>
      </w:r>
    </w:p>
  </w:endnote>
  <w:endnote w:type="continuationSeparator" w:id="0">
    <w:p w:rsidR="00441531" w:rsidRDefault="0044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Riesling">
    <w:altName w:val="Calibri"/>
    <w:panose1 w:val="00000400000000000000"/>
    <w:charset w:val="00"/>
    <w:family w:val="auto"/>
    <w:pitch w:val="variable"/>
    <w:sig w:usb0="00000003" w:usb1="00000000" w:usb2="00000000" w:usb3="00000000" w:csb0="00000001" w:csb1="00000000"/>
    <w:embedRegular r:id="rId1" w:subsetted="1" w:fontKey="{CCD6CD0A-09FF-A141-A297-15BE8C74FE4A}"/>
  </w:font>
  <w:font w:name="Avenir Roman">
    <w:altName w:val="Calibri"/>
    <w:panose1 w:val="020B0503020203020204"/>
    <w:charset w:val="4D"/>
    <w:family w:val="swiss"/>
    <w:pitch w:val="variable"/>
    <w:sig w:usb0="800000AF" w:usb1="5000204A" w:usb2="00000000" w:usb3="00000000" w:csb0="0000009B" w:csb1="00000000"/>
    <w:embedRegular r:id="rId2" w:fontKey="{3DAA4B42-B129-E04A-8E64-6F460425137F}"/>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4214" w:rsidRDefault="00FC4214">
    <w:pPr>
      <w:pStyle w:val="Fuzeile"/>
    </w:pPr>
    <w:r>
      <w:tab/>
    </w:r>
    <w:r>
      <w:tab/>
    </w:r>
    <w:r>
      <w:tab/>
    </w:r>
  </w:p>
  <w:p w:rsidR="00FC4214" w:rsidRPr="00FC4214" w:rsidRDefault="00FC4214">
    <w:pPr>
      <w:pStyle w:val="Fuzeile"/>
      <w:rPr>
        <w:rFonts w:ascii="Avenir Roman" w:hAnsi="Avenir Roman"/>
        <w:sz w:val="18"/>
        <w:szCs w:val="18"/>
      </w:rPr>
    </w:pPr>
    <w:r>
      <w:tab/>
    </w:r>
    <w:r w:rsidRPr="00FC4214">
      <w:rPr>
        <w:rFonts w:ascii="Avenir Roman" w:hAnsi="Avenir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41531" w:rsidRDefault="00441531">
      <w:r>
        <w:separator/>
      </w:r>
    </w:p>
  </w:footnote>
  <w:footnote w:type="continuationSeparator" w:id="0">
    <w:p w:rsidR="00441531" w:rsidRDefault="00441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4B1F" w:rsidRDefault="00441531">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209579" o:spid="_x0000_s2049" type="#_x0000_t136" alt="" style="position:absolute;margin-left:0;margin-top:0;width:511.5pt;height:127.8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entury Gothic&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0DED" w:rsidRPr="007E0DED" w:rsidRDefault="007E0DED">
    <w:pPr>
      <w:pStyle w:val="Kopfzeile"/>
      <w:rPr>
        <w:rFonts w:ascii="Riesling" w:hAnsi="Riesling"/>
        <w:sz w:val="30"/>
        <w:szCs w:val="30"/>
      </w:rPr>
    </w:pPr>
  </w:p>
  <w:p w:rsidR="00485FF9" w:rsidRDefault="007E0DED">
    <w:pPr>
      <w:pStyle w:val="Kopfzeile"/>
      <w:rPr>
        <w:rFonts w:ascii="Riesling" w:hAnsi="Riesling"/>
        <w:sz w:val="70"/>
        <w:szCs w:val="70"/>
      </w:rPr>
    </w:pPr>
    <w:r w:rsidRPr="00FC6FDB">
      <w:rPr>
        <w:rFonts w:ascii="Riesling" w:hAnsi="Riesling"/>
        <w:noProof/>
        <w:sz w:val="70"/>
        <w:szCs w:val="70"/>
      </w:rPr>
      <w:drawing>
        <wp:anchor distT="0" distB="0" distL="114300" distR="114300" simplePos="0" relativeHeight="251657728" behindDoc="0" locked="0" layoutInCell="1" allowOverlap="1" wp14:anchorId="192DE39B" wp14:editId="10817B57">
          <wp:simplePos x="0" y="0"/>
          <wp:positionH relativeFrom="column">
            <wp:posOffset>4311941</wp:posOffset>
          </wp:positionH>
          <wp:positionV relativeFrom="paragraph">
            <wp:posOffset>-1115520</wp:posOffset>
          </wp:positionV>
          <wp:extent cx="2760345" cy="3571875"/>
          <wp:effectExtent l="0" t="0" r="0" b="0"/>
          <wp:wrapThrough wrapText="bothSides">
            <wp:wrapPolygon edited="0">
              <wp:start x="8845" y="3533"/>
              <wp:lineTo x="7354" y="4301"/>
              <wp:lineTo x="6062" y="4838"/>
              <wp:lineTo x="3379" y="6144"/>
              <wp:lineTo x="3180" y="7373"/>
              <wp:lineTo x="2186" y="8525"/>
              <wp:lineTo x="1988" y="9830"/>
              <wp:lineTo x="1193" y="10829"/>
              <wp:lineTo x="2584" y="12288"/>
              <wp:lineTo x="2286" y="13056"/>
              <wp:lineTo x="2484" y="13440"/>
              <wp:lineTo x="3280" y="13517"/>
              <wp:lineTo x="3280" y="15360"/>
              <wp:lineTo x="4571" y="15974"/>
              <wp:lineTo x="5863" y="15974"/>
              <wp:lineTo x="5863" y="16589"/>
              <wp:lineTo x="6957" y="17203"/>
              <wp:lineTo x="7950" y="17203"/>
              <wp:lineTo x="8745" y="17894"/>
              <wp:lineTo x="8845" y="18048"/>
              <wp:lineTo x="9342" y="18048"/>
              <wp:lineTo x="10832" y="17894"/>
              <wp:lineTo x="12820" y="17510"/>
              <wp:lineTo x="12720" y="17203"/>
              <wp:lineTo x="14907" y="17203"/>
              <wp:lineTo x="16398" y="16666"/>
              <wp:lineTo x="16298" y="15974"/>
              <wp:lineTo x="16795" y="15974"/>
              <wp:lineTo x="17689" y="15130"/>
              <wp:lineTo x="17689" y="14746"/>
              <wp:lineTo x="19180" y="13517"/>
              <wp:lineTo x="19578" y="13517"/>
              <wp:lineTo x="19379" y="11059"/>
              <wp:lineTo x="19776" y="11059"/>
              <wp:lineTo x="19677" y="10675"/>
              <wp:lineTo x="19081" y="9830"/>
              <wp:lineTo x="19677" y="8371"/>
              <wp:lineTo x="18484" y="7526"/>
              <wp:lineTo x="17789" y="7373"/>
              <wp:lineTo x="17888" y="6682"/>
              <wp:lineTo x="17491" y="6221"/>
              <wp:lineTo x="16497" y="6144"/>
              <wp:lineTo x="15901" y="4992"/>
              <wp:lineTo x="15901" y="4531"/>
              <wp:lineTo x="12820" y="3994"/>
              <wp:lineTo x="9441" y="3533"/>
              <wp:lineTo x="8845" y="3533"/>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60345" cy="3571875"/>
                  </a:xfrm>
                  <a:prstGeom prst="rect">
                    <a:avLst/>
                  </a:prstGeom>
                </pic:spPr>
              </pic:pic>
            </a:graphicData>
          </a:graphic>
          <wp14:sizeRelH relativeFrom="page">
            <wp14:pctWidth>0</wp14:pctWidth>
          </wp14:sizeRelH>
          <wp14:sizeRelV relativeFrom="page">
            <wp14:pctHeight>0</wp14:pctHeight>
          </wp14:sizeRelV>
        </wp:anchor>
      </w:drawing>
    </w:r>
    <w:r w:rsidR="00FC6FDB" w:rsidRPr="00FC6FDB">
      <w:rPr>
        <w:rFonts w:ascii="Riesling" w:hAnsi="Riesling"/>
        <w:noProof/>
        <w:sz w:val="70"/>
        <w:szCs w:val="70"/>
      </w:rPr>
      <w:drawing>
        <wp:anchor distT="0" distB="0" distL="114300" distR="114300" simplePos="0" relativeHeight="251656704" behindDoc="0" locked="0" layoutInCell="1" allowOverlap="1" wp14:anchorId="78F8BC19">
          <wp:simplePos x="0" y="0"/>
          <wp:positionH relativeFrom="column">
            <wp:posOffset>7233920</wp:posOffset>
          </wp:positionH>
          <wp:positionV relativeFrom="paragraph">
            <wp:posOffset>-1233170</wp:posOffset>
          </wp:positionV>
          <wp:extent cx="2760345" cy="3571875"/>
          <wp:effectExtent l="0" t="0" r="0" b="0"/>
          <wp:wrapThrough wrapText="bothSides">
            <wp:wrapPolygon edited="0">
              <wp:start x="8845" y="3533"/>
              <wp:lineTo x="7354" y="4301"/>
              <wp:lineTo x="6062" y="4838"/>
              <wp:lineTo x="3379" y="6144"/>
              <wp:lineTo x="3180" y="7373"/>
              <wp:lineTo x="2186" y="8525"/>
              <wp:lineTo x="1988" y="9830"/>
              <wp:lineTo x="1193" y="10829"/>
              <wp:lineTo x="2584" y="12288"/>
              <wp:lineTo x="2286" y="13056"/>
              <wp:lineTo x="2484" y="13440"/>
              <wp:lineTo x="3280" y="13517"/>
              <wp:lineTo x="3280" y="15360"/>
              <wp:lineTo x="4571" y="15974"/>
              <wp:lineTo x="5863" y="15974"/>
              <wp:lineTo x="5863" y="16589"/>
              <wp:lineTo x="6957" y="17203"/>
              <wp:lineTo x="7950" y="17203"/>
              <wp:lineTo x="8745" y="17894"/>
              <wp:lineTo x="8845" y="18048"/>
              <wp:lineTo x="9342" y="18048"/>
              <wp:lineTo x="10832" y="17894"/>
              <wp:lineTo x="12820" y="17510"/>
              <wp:lineTo x="12720" y="17203"/>
              <wp:lineTo x="14907" y="17203"/>
              <wp:lineTo x="16398" y="16666"/>
              <wp:lineTo x="16298" y="15974"/>
              <wp:lineTo x="16795" y="15974"/>
              <wp:lineTo x="17689" y="15130"/>
              <wp:lineTo x="17689" y="14746"/>
              <wp:lineTo x="19180" y="13517"/>
              <wp:lineTo x="19578" y="13517"/>
              <wp:lineTo x="19379" y="11059"/>
              <wp:lineTo x="19776" y="11059"/>
              <wp:lineTo x="19677" y="10675"/>
              <wp:lineTo x="19081" y="9830"/>
              <wp:lineTo x="19677" y="8371"/>
              <wp:lineTo x="18484" y="7526"/>
              <wp:lineTo x="17789" y="7373"/>
              <wp:lineTo x="17888" y="6682"/>
              <wp:lineTo x="17491" y="6221"/>
              <wp:lineTo x="16497" y="6144"/>
              <wp:lineTo x="15901" y="4992"/>
              <wp:lineTo x="15901" y="4531"/>
              <wp:lineTo x="12820" y="3994"/>
              <wp:lineTo x="9441" y="3533"/>
              <wp:lineTo x="8845" y="3533"/>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60345" cy="3571875"/>
                  </a:xfrm>
                  <a:prstGeom prst="rect">
                    <a:avLst/>
                  </a:prstGeom>
                </pic:spPr>
              </pic:pic>
            </a:graphicData>
          </a:graphic>
          <wp14:sizeRelH relativeFrom="page">
            <wp14:pctWidth>0</wp14:pctWidth>
          </wp14:sizeRelH>
          <wp14:sizeRelV relativeFrom="page">
            <wp14:pctHeight>0</wp14:pctHeight>
          </wp14:sizeRelV>
        </wp:anchor>
      </w:drawing>
    </w:r>
    <w:r w:rsidR="00FC6FDB">
      <w:rPr>
        <w:rFonts w:ascii="Riesling" w:hAnsi="Riesling"/>
        <w:sz w:val="70"/>
        <w:szCs w:val="70"/>
      </w:rPr>
      <w:t>Carry Easy</w:t>
    </w:r>
    <w:r w:rsidR="00FC6FDB">
      <w:rPr>
        <w:rFonts w:ascii="Riesling" w:hAnsi="Riesling"/>
        <w:sz w:val="70"/>
        <w:szCs w:val="70"/>
      </w:rPr>
      <w:tab/>
    </w:r>
    <w:r w:rsidR="00FC6FDB">
      <w:rPr>
        <w:rFonts w:ascii="Riesling" w:hAnsi="Riesling"/>
        <w:sz w:val="70"/>
        <w:szCs w:val="70"/>
      </w:rPr>
      <w:tab/>
    </w:r>
  </w:p>
  <w:p w:rsidR="00FC6FDB" w:rsidRPr="00FC6FDB" w:rsidRDefault="00FC6FDB" w:rsidP="0073717B">
    <w:pPr>
      <w:pStyle w:val="Kopfzeile"/>
      <w:tabs>
        <w:tab w:val="clear" w:pos="4536"/>
        <w:tab w:val="center" w:pos="2268"/>
      </w:tabs>
      <w:rPr>
        <w:rFonts w:ascii="Riesling" w:hAnsi="Riesling"/>
        <w:sz w:val="70"/>
        <w:szCs w:val="70"/>
      </w:rPr>
    </w:pPr>
    <w:r>
      <w:rPr>
        <w:rFonts w:ascii="Riesling" w:hAnsi="Riesling"/>
        <w:sz w:val="70"/>
        <w:szCs w:val="70"/>
      </w:rPr>
      <w:tab/>
    </w:r>
    <w:proofErr w:type="spellStart"/>
    <w:r>
      <w:rPr>
        <w:rFonts w:ascii="Riesling" w:hAnsi="Riesling"/>
        <w:sz w:val="70"/>
        <w:szCs w:val="70"/>
      </w:rPr>
      <w:t>Art&amp;Ink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E558F"/>
    <w:multiLevelType w:val="hybridMultilevel"/>
    <w:tmpl w:val="2E98CA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9542CD5"/>
    <w:multiLevelType w:val="hybridMultilevel"/>
    <w:tmpl w:val="D724364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E5A241F"/>
    <w:multiLevelType w:val="hybridMultilevel"/>
    <w:tmpl w:val="397CB8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embedTrueTypeFonts/>
  <w:saveSubsetFonts/>
  <w:proofState w:spelling="clean"/>
  <w:attachedTemplate r:id="rId1"/>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4F"/>
    <w:rsid w:val="00004D38"/>
    <w:rsid w:val="00011364"/>
    <w:rsid w:val="0002492D"/>
    <w:rsid w:val="00026BC8"/>
    <w:rsid w:val="00045EEB"/>
    <w:rsid w:val="000545EF"/>
    <w:rsid w:val="00063905"/>
    <w:rsid w:val="000667CD"/>
    <w:rsid w:val="000679C0"/>
    <w:rsid w:val="0007019C"/>
    <w:rsid w:val="00104BAF"/>
    <w:rsid w:val="00153AFC"/>
    <w:rsid w:val="00175E2B"/>
    <w:rsid w:val="00186FFD"/>
    <w:rsid w:val="001A1296"/>
    <w:rsid w:val="001E771D"/>
    <w:rsid w:val="00242FE7"/>
    <w:rsid w:val="00247213"/>
    <w:rsid w:val="002806F1"/>
    <w:rsid w:val="002809DE"/>
    <w:rsid w:val="002A1BF6"/>
    <w:rsid w:val="00345C6D"/>
    <w:rsid w:val="003D615C"/>
    <w:rsid w:val="00441531"/>
    <w:rsid w:val="00445359"/>
    <w:rsid w:val="004818AE"/>
    <w:rsid w:val="00485FF9"/>
    <w:rsid w:val="00565B6A"/>
    <w:rsid w:val="005B59B3"/>
    <w:rsid w:val="005D0CB3"/>
    <w:rsid w:val="00627F93"/>
    <w:rsid w:val="00635029"/>
    <w:rsid w:val="00651637"/>
    <w:rsid w:val="00687922"/>
    <w:rsid w:val="006A39E6"/>
    <w:rsid w:val="006E390E"/>
    <w:rsid w:val="006E67BC"/>
    <w:rsid w:val="00717037"/>
    <w:rsid w:val="00727462"/>
    <w:rsid w:val="0073717B"/>
    <w:rsid w:val="007A03F3"/>
    <w:rsid w:val="007E0DED"/>
    <w:rsid w:val="00851506"/>
    <w:rsid w:val="00877EC4"/>
    <w:rsid w:val="00895A51"/>
    <w:rsid w:val="008B1EB7"/>
    <w:rsid w:val="009025DF"/>
    <w:rsid w:val="00931701"/>
    <w:rsid w:val="0095343C"/>
    <w:rsid w:val="00990148"/>
    <w:rsid w:val="009931D4"/>
    <w:rsid w:val="009B39FE"/>
    <w:rsid w:val="009D3B50"/>
    <w:rsid w:val="00A135A1"/>
    <w:rsid w:val="00A14B1F"/>
    <w:rsid w:val="00B63697"/>
    <w:rsid w:val="00B93EEA"/>
    <w:rsid w:val="00BC47AD"/>
    <w:rsid w:val="00C14721"/>
    <w:rsid w:val="00C417EA"/>
    <w:rsid w:val="00C706B8"/>
    <w:rsid w:val="00C75ACE"/>
    <w:rsid w:val="00C84DCF"/>
    <w:rsid w:val="00CB23F1"/>
    <w:rsid w:val="00D53D61"/>
    <w:rsid w:val="00E23BEC"/>
    <w:rsid w:val="00E50C6C"/>
    <w:rsid w:val="00EC5ADB"/>
    <w:rsid w:val="00F1314F"/>
    <w:rsid w:val="00F54968"/>
    <w:rsid w:val="00F73118"/>
    <w:rsid w:val="00FC4214"/>
    <w:rsid w:val="00FC6F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1215EF7"/>
  <w15:docId w15:val="{01C76A63-91FD-42A7-A60D-5E70ED84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5FF9"/>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485FF9"/>
    <w:pPr>
      <w:tabs>
        <w:tab w:val="center" w:pos="4536"/>
        <w:tab w:val="right" w:pos="9072"/>
      </w:tabs>
    </w:pPr>
  </w:style>
  <w:style w:type="paragraph" w:styleId="Fuzeile">
    <w:name w:val="footer"/>
    <w:basedOn w:val="Standard"/>
    <w:semiHidden/>
    <w:rsid w:val="00485FF9"/>
    <w:pPr>
      <w:tabs>
        <w:tab w:val="center" w:pos="4536"/>
        <w:tab w:val="right" w:pos="9072"/>
      </w:tabs>
    </w:pPr>
  </w:style>
  <w:style w:type="character" w:styleId="Seitenzahl">
    <w:name w:val="page number"/>
    <w:basedOn w:val="Absatz-Standardschriftart"/>
    <w:semiHidden/>
    <w:rsid w:val="00485FF9"/>
  </w:style>
  <w:style w:type="character" w:styleId="Hyperlink">
    <w:name w:val="Hyperlink"/>
    <w:basedOn w:val="Absatz-Standardschriftart"/>
    <w:semiHidden/>
    <w:rsid w:val="00485FF9"/>
    <w:rPr>
      <w:color w:val="0000FF"/>
      <w:u w:val="single"/>
    </w:rPr>
  </w:style>
  <w:style w:type="paragraph" w:styleId="Sprechblasentext">
    <w:name w:val="Balloon Text"/>
    <w:basedOn w:val="Standard"/>
    <w:link w:val="SprechblasentextZchn"/>
    <w:uiPriority w:val="99"/>
    <w:semiHidden/>
    <w:unhideWhenUsed/>
    <w:rsid w:val="001E771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71D"/>
    <w:rPr>
      <w:rFonts w:ascii="Tahoma" w:hAnsi="Tahoma" w:cs="Tahoma"/>
      <w:sz w:val="16"/>
      <w:szCs w:val="16"/>
    </w:rPr>
  </w:style>
  <w:style w:type="paragraph" w:styleId="Listenabsatz">
    <w:name w:val="List Paragraph"/>
    <w:basedOn w:val="Standard"/>
    <w:uiPriority w:val="34"/>
    <w:qFormat/>
    <w:rsid w:val="000667CD"/>
    <w:pPr>
      <w:ind w:left="720"/>
      <w:contextualSpacing/>
    </w:pPr>
  </w:style>
  <w:style w:type="paragraph" w:styleId="StandardWeb">
    <w:name w:val="Normal (Web)"/>
    <w:basedOn w:val="Standard"/>
    <w:uiPriority w:val="99"/>
    <w:semiHidden/>
    <w:unhideWhenUsed/>
    <w:rsid w:val="00E50C6C"/>
    <w:pPr>
      <w:spacing w:before="100" w:beforeAutospacing="1" w:after="100" w:afterAutospacing="1"/>
    </w:pPr>
    <w:rPr>
      <w:rFonts w:eastAsiaTheme="minorEastAsia"/>
    </w:rPr>
  </w:style>
  <w:style w:type="paragraph" w:customStyle="1" w:styleId="Default">
    <w:name w:val="Default"/>
    <w:rsid w:val="005B59B3"/>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0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ner\AppData\Roaming\Microsoft\Templates\Entwurf%20RA%20Slam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F2573-1D2B-BE4C-B5A4-D56135AD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C:\Users\Meiner\AppData\Roaming\Microsoft\Templates\Entwurf RA Slamal.dotx</Template>
  <TotalTime>0</TotalTime>
  <Pages>3</Pages>
  <Words>1211</Words>
  <Characters>7635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D-50667 Köln</vt:lpstr>
    </vt:vector>
  </TitlesOfParts>
  <Company>MKS</Company>
  <LinksUpToDate>false</LinksUpToDate>
  <CharactersWithSpaces>8829</CharactersWithSpaces>
  <SharedDoc>false</SharedDoc>
  <HLinks>
    <vt:vector size="6" baseType="variant">
      <vt:variant>
        <vt:i4>852031</vt:i4>
      </vt:variant>
      <vt:variant>
        <vt:i4>9</vt:i4>
      </vt:variant>
      <vt:variant>
        <vt:i4>0</vt:i4>
      </vt:variant>
      <vt:variant>
        <vt:i4>5</vt:i4>
      </vt:variant>
      <vt:variant>
        <vt:lpwstr>mailto:kanzlei@m-k-s.net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D-50667 Köln</dc:title>
  <dc:creator>Urban Slamal</dc:creator>
  <cp:lastModifiedBy>Iljana Schardt</cp:lastModifiedBy>
  <cp:revision>5</cp:revision>
  <cp:lastPrinted>2005-02-22T18:01:00Z</cp:lastPrinted>
  <dcterms:created xsi:type="dcterms:W3CDTF">2019-01-16T07:51:00Z</dcterms:created>
  <dcterms:modified xsi:type="dcterms:W3CDTF">2020-10-09T08:09:00Z</dcterms:modified>
</cp:coreProperties>
</file>